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70E5C" w14:textId="055C1221" w:rsidR="00DD6F13" w:rsidRPr="003C4BF1" w:rsidRDefault="00DD6F13" w:rsidP="00DD6F13">
      <w:pPr>
        <w:pStyle w:val="a3"/>
        <w:tabs>
          <w:tab w:val="right" w:pos="9639"/>
        </w:tabs>
        <w:rPr>
          <w:rFonts w:eastAsia="MS Mincho"/>
          <w:noProof w:val="0"/>
          <w:sz w:val="24"/>
          <w:szCs w:val="24"/>
          <w:lang w:val="en-GB" w:eastAsia="en-GB"/>
        </w:rPr>
      </w:pPr>
      <w:r w:rsidRPr="003C4BF1">
        <w:rPr>
          <w:rFonts w:eastAsia="MS Mincho"/>
          <w:noProof w:val="0"/>
          <w:sz w:val="24"/>
          <w:szCs w:val="24"/>
          <w:lang w:val="en-GB" w:eastAsia="en-GB"/>
        </w:rPr>
        <w:t>3GPP TSG-RAN WG2 Meeting #121</w:t>
      </w:r>
      <w:r w:rsidRPr="003C4BF1">
        <w:rPr>
          <w:rFonts w:eastAsia="MS Mincho"/>
          <w:noProof w:val="0"/>
          <w:sz w:val="24"/>
          <w:szCs w:val="24"/>
          <w:lang w:val="en-GB" w:eastAsia="en-GB"/>
        </w:rPr>
        <w:tab/>
      </w:r>
      <w:r w:rsidR="005B3CED" w:rsidRPr="005B3CED">
        <w:rPr>
          <w:rFonts w:eastAsia="MS Mincho"/>
          <w:noProof w:val="0"/>
          <w:sz w:val="24"/>
          <w:szCs w:val="24"/>
          <w:lang w:val="en-GB" w:eastAsia="en-GB"/>
        </w:rPr>
        <w:t>R2-230098</w:t>
      </w:r>
      <w:r w:rsidR="005B3CED">
        <w:rPr>
          <w:rFonts w:eastAsia="MS Mincho"/>
          <w:noProof w:val="0"/>
          <w:sz w:val="24"/>
          <w:szCs w:val="24"/>
          <w:lang w:val="en-GB" w:eastAsia="en-GB"/>
        </w:rPr>
        <w:t>4</w:t>
      </w:r>
    </w:p>
    <w:p w14:paraId="4AA29EF9" w14:textId="2E5776DA" w:rsidR="00934AFD" w:rsidRPr="001C7FAA" w:rsidRDefault="00DD6F13" w:rsidP="00DD6F13">
      <w:pPr>
        <w:pStyle w:val="a3"/>
        <w:tabs>
          <w:tab w:val="right" w:pos="9639"/>
        </w:tabs>
        <w:jc w:val="both"/>
        <w:rPr>
          <w:rFonts w:cs="Arial"/>
          <w:b w:val="0"/>
          <w:bCs/>
          <w:i/>
          <w:iCs/>
          <w:sz w:val="24"/>
          <w:lang w:eastAsia="zh-CN"/>
        </w:rPr>
      </w:pPr>
      <w:r w:rsidRPr="003C4BF1">
        <w:rPr>
          <w:rFonts w:eastAsia="MS Mincho"/>
          <w:noProof w:val="0"/>
          <w:sz w:val="24"/>
          <w:szCs w:val="24"/>
          <w:lang w:val="en-GB" w:eastAsia="en-GB"/>
        </w:rPr>
        <w:t>Athens, Greece, February-March 202</w:t>
      </w:r>
      <w:r w:rsidR="00F7447B">
        <w:rPr>
          <w:rFonts w:eastAsia="MS Mincho"/>
          <w:noProof w:val="0"/>
          <w:sz w:val="24"/>
          <w:szCs w:val="24"/>
          <w:lang w:val="en-GB" w:eastAsia="en-GB"/>
        </w:rPr>
        <w:t>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7A4D33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r w:rsidR="005649D8">
        <w:rPr>
          <w:rFonts w:eastAsia="宋体" w:cs="Arial" w:hint="eastAsia"/>
          <w:b/>
          <w:bCs/>
          <w:kern w:val="2"/>
          <w:sz w:val="24"/>
          <w:szCs w:val="22"/>
          <w:lang w:val="en-US" w:eastAsia="zh-CN"/>
        </w:rPr>
        <w:t>.</w:t>
      </w:r>
      <w:r w:rsidR="00A92B3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2F3B12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64B7B">
        <w:rPr>
          <w:rFonts w:ascii="Arial" w:hAnsi="Arial" w:cs="Arial" w:hint="eastAsia"/>
          <w:b/>
          <w:bCs/>
          <w:sz w:val="24"/>
        </w:rPr>
        <w:t>M</w:t>
      </w:r>
      <w:r w:rsidR="004D3324" w:rsidRPr="004D3324">
        <w:rPr>
          <w:rFonts w:ascii="Arial" w:hAnsi="Arial" w:cs="Arial"/>
          <w:b/>
          <w:bCs/>
          <w:sz w:val="24"/>
        </w:rPr>
        <w:t xml:space="preserve">easurement for </w:t>
      </w:r>
      <w:r w:rsidR="00B64B7B">
        <w:rPr>
          <w:rFonts w:ascii="Arial" w:hAnsi="Arial" w:cs="Arial"/>
          <w:b/>
          <w:bCs/>
          <w:sz w:val="24"/>
        </w:rPr>
        <w:t xml:space="preserve">cell </w:t>
      </w:r>
      <w:r w:rsidR="004D3324" w:rsidRPr="004D3324">
        <w:rPr>
          <w:rFonts w:ascii="Arial" w:hAnsi="Arial" w:cs="Arial"/>
          <w:b/>
          <w:bCs/>
          <w:sz w:val="24"/>
        </w:rPr>
        <w:t>reselection in NTN with TN cells involved</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334C1EC9" w:rsidR="00D564BF" w:rsidRPr="009E4834" w:rsidRDefault="00D6055D" w:rsidP="000B6AD1">
      <w:pPr>
        <w:rPr>
          <w:rFonts w:ascii="Times New Roman" w:hAnsi="Times New Roman"/>
          <w:sz w:val="22"/>
        </w:rPr>
      </w:pPr>
      <w:r w:rsidRPr="009E4834">
        <w:rPr>
          <w:rFonts w:ascii="Times New Roman" w:hAnsi="Times New Roman" w:hint="eastAsia"/>
          <w:sz w:val="22"/>
        </w:rPr>
        <w:t>T</w:t>
      </w:r>
      <w:r w:rsidRPr="009E4834">
        <w:rPr>
          <w:rFonts w:ascii="Times New Roman" w:hAnsi="Times New Roman"/>
          <w:sz w:val="22"/>
        </w:rPr>
        <w:t>he latest RAN2#119</w:t>
      </w:r>
      <w:r w:rsidR="001F6294" w:rsidRPr="009E4834">
        <w:rPr>
          <w:rFonts w:ascii="Times New Roman" w:hAnsi="Times New Roman" w:hint="eastAsia"/>
          <w:sz w:val="22"/>
        </w:rPr>
        <w:t>bis</w:t>
      </w:r>
      <w:r w:rsidR="00480691" w:rsidRPr="009E4834">
        <w:rPr>
          <w:rFonts w:ascii="Times New Roman" w:hAnsi="Times New Roman"/>
          <w:sz w:val="22"/>
        </w:rPr>
        <w:t xml:space="preserve"> and RAN2#120</w:t>
      </w:r>
      <w:r w:rsidRPr="009E4834">
        <w:rPr>
          <w:rFonts w:ascii="Times New Roman" w:hAnsi="Times New Roman"/>
          <w:sz w:val="22"/>
        </w:rPr>
        <w:t xml:space="preserve"> meeting</w:t>
      </w:r>
      <w:r w:rsidR="00480691" w:rsidRPr="009E4834">
        <w:rPr>
          <w:rFonts w:ascii="Times New Roman" w:hAnsi="Times New Roman"/>
          <w:sz w:val="22"/>
        </w:rPr>
        <w:t>s</w:t>
      </w:r>
      <w:r w:rsidRPr="009E4834">
        <w:rPr>
          <w:rFonts w:ascii="Times New Roman" w:hAnsi="Times New Roman"/>
          <w:sz w:val="22"/>
        </w:rPr>
        <w:t xml:space="preserve"> made the following agreements regarding IDLE/INACTIVE mobility</w:t>
      </w:r>
      <w:r w:rsidR="001F6294" w:rsidRPr="009E4834">
        <w:rPr>
          <w:rFonts w:ascii="Times New Roman" w:hAnsi="Times New Roman"/>
          <w:sz w:val="22"/>
        </w:rPr>
        <w:t xml:space="preserve"> in NR NTN:</w:t>
      </w:r>
    </w:p>
    <w:tbl>
      <w:tblPr>
        <w:tblStyle w:val="af1"/>
        <w:tblW w:w="0" w:type="auto"/>
        <w:tblLook w:val="04A0" w:firstRow="1" w:lastRow="0" w:firstColumn="1" w:lastColumn="0" w:noHBand="0" w:noVBand="1"/>
      </w:tblPr>
      <w:tblGrid>
        <w:gridCol w:w="9629"/>
      </w:tblGrid>
      <w:tr w:rsidR="009B4F09" w:rsidRPr="009E4834" w14:paraId="4A913ABB" w14:textId="77777777" w:rsidTr="009B4F09">
        <w:tc>
          <w:tcPr>
            <w:tcW w:w="9629" w:type="dxa"/>
          </w:tcPr>
          <w:p w14:paraId="0578404D" w14:textId="6F18A3FF" w:rsidR="00F145B5" w:rsidRPr="009E4834" w:rsidRDefault="00480691" w:rsidP="00F145B5">
            <w:pPr>
              <w:rPr>
                <w:rFonts w:ascii="Times New Roman" w:hAnsi="Times New Roman"/>
                <w:bCs/>
                <w:sz w:val="22"/>
              </w:rPr>
            </w:pPr>
            <w:r w:rsidRPr="009E4834">
              <w:rPr>
                <w:rFonts w:ascii="Times New Roman" w:hAnsi="Times New Roman"/>
                <w:sz w:val="22"/>
              </w:rPr>
              <w:t>RAN2#119</w:t>
            </w:r>
            <w:r w:rsidRPr="009E4834">
              <w:rPr>
                <w:rFonts w:ascii="Times New Roman" w:hAnsi="Times New Roman" w:hint="eastAsia"/>
                <w:sz w:val="22"/>
              </w:rPr>
              <w:t>bis</w:t>
            </w:r>
          </w:p>
          <w:p w14:paraId="183323C8" w14:textId="77777777" w:rsidR="00F145B5" w:rsidRPr="009E4834" w:rsidRDefault="00F145B5" w:rsidP="00F145B5">
            <w:pPr>
              <w:pStyle w:val="a6"/>
              <w:numPr>
                <w:ilvl w:val="0"/>
                <w:numId w:val="13"/>
              </w:numPr>
              <w:spacing w:after="0"/>
              <w:ind w:firstLineChars="0"/>
              <w:rPr>
                <w:bCs/>
                <w:sz w:val="22"/>
                <w:szCs w:val="22"/>
              </w:rPr>
            </w:pPr>
            <w:r w:rsidRPr="009E4834">
              <w:rPr>
                <w:bCs/>
                <w:sz w:val="22"/>
                <w:szCs w:val="22"/>
              </w:rPr>
              <w:t>To enhance NTN-TN cell reselection, means are defined for a UE to differentiate when camping in an area only covered by NTN network (earth-moving or earth-fixed) vs an area where TN network(s) is/are also available.</w:t>
            </w:r>
          </w:p>
          <w:p w14:paraId="7CF0751D" w14:textId="77777777" w:rsidR="00F145B5" w:rsidRPr="009E4834" w:rsidRDefault="00F145B5" w:rsidP="00F145B5">
            <w:pPr>
              <w:pStyle w:val="a6"/>
              <w:numPr>
                <w:ilvl w:val="0"/>
                <w:numId w:val="13"/>
              </w:numPr>
              <w:spacing w:after="0"/>
              <w:ind w:firstLineChars="0"/>
              <w:rPr>
                <w:bCs/>
                <w:sz w:val="22"/>
                <w:szCs w:val="22"/>
              </w:rPr>
            </w:pPr>
            <w:r w:rsidRPr="009E4834">
              <w:rPr>
                <w:bCs/>
                <w:sz w:val="22"/>
                <w:szCs w:val="22"/>
              </w:rPr>
              <w:t>UE is not required to perform neighbour cell measurements for TN neighbour cells in an area where there is no TN network coverage.</w:t>
            </w:r>
          </w:p>
          <w:p w14:paraId="6EF918E3" w14:textId="77777777" w:rsidR="00F145B5" w:rsidRPr="009E4834" w:rsidRDefault="00F145B5" w:rsidP="00F145B5">
            <w:pPr>
              <w:pStyle w:val="a6"/>
              <w:numPr>
                <w:ilvl w:val="0"/>
                <w:numId w:val="13"/>
              </w:numPr>
              <w:spacing w:after="0"/>
              <w:ind w:firstLineChars="0"/>
              <w:rPr>
                <w:bCs/>
                <w:sz w:val="22"/>
                <w:szCs w:val="22"/>
              </w:rPr>
            </w:pPr>
            <w:r w:rsidRPr="009E4834">
              <w:rPr>
                <w:bCs/>
                <w:sz w:val="22"/>
                <w:szCs w:val="22"/>
              </w:rPr>
              <w:t>The method of detecting the transmission energy or SIB presence to determine the NTN coverage when a UE currently camps on a TN cell is not pursued.</w:t>
            </w:r>
          </w:p>
          <w:p w14:paraId="5EA3AAD7" w14:textId="038E9124" w:rsidR="00111156" w:rsidRPr="009E4834" w:rsidRDefault="00111156" w:rsidP="00111156">
            <w:pPr>
              <w:rPr>
                <w:rFonts w:ascii="Times New Roman" w:hAnsi="Times New Roman"/>
                <w:sz w:val="22"/>
              </w:rPr>
            </w:pPr>
            <w:r w:rsidRPr="009E4834">
              <w:rPr>
                <w:rFonts w:ascii="Times New Roman" w:hAnsi="Times New Roman" w:hint="eastAsia"/>
                <w:sz w:val="22"/>
              </w:rPr>
              <w:t>R</w:t>
            </w:r>
            <w:r w:rsidRPr="009E4834">
              <w:rPr>
                <w:rFonts w:ascii="Times New Roman" w:hAnsi="Times New Roman"/>
                <w:sz w:val="22"/>
              </w:rPr>
              <w:t>AN2#120</w:t>
            </w:r>
          </w:p>
          <w:p w14:paraId="2EECA78F" w14:textId="77777777" w:rsidR="00111156" w:rsidRPr="00111156" w:rsidRDefault="00111156" w:rsidP="00111156">
            <w:pPr>
              <w:pStyle w:val="a6"/>
              <w:numPr>
                <w:ilvl w:val="0"/>
                <w:numId w:val="19"/>
              </w:numPr>
              <w:spacing w:after="0"/>
              <w:ind w:firstLineChars="0"/>
              <w:rPr>
                <w:bCs/>
                <w:sz w:val="22"/>
                <w:szCs w:val="22"/>
              </w:rPr>
            </w:pPr>
            <w:r w:rsidRPr="00111156">
              <w:rPr>
                <w:bCs/>
                <w:sz w:val="22"/>
                <w:szCs w:val="22"/>
              </w:rPr>
              <w:t>RAN2 will first continue the investigation on the details of the TN coverage data (e.g. accuracy requirements for describing where TN network(s) is/are available) and UE storage overhead before deciding how to send the information to the UE.</w:t>
            </w:r>
          </w:p>
          <w:p w14:paraId="73316F8C" w14:textId="28D70057" w:rsidR="00111156" w:rsidRPr="009E4834" w:rsidRDefault="00111156" w:rsidP="00111156">
            <w:pPr>
              <w:pStyle w:val="a6"/>
              <w:numPr>
                <w:ilvl w:val="0"/>
                <w:numId w:val="19"/>
              </w:numPr>
              <w:spacing w:after="0"/>
              <w:ind w:firstLineChars="0"/>
              <w:rPr>
                <w:bCs/>
                <w:sz w:val="22"/>
                <w:szCs w:val="22"/>
              </w:rPr>
            </w:pPr>
            <w:r w:rsidRPr="00111156">
              <w:rPr>
                <w:bCs/>
                <w:sz w:val="22"/>
                <w:szCs w:val="22"/>
              </w:rPr>
              <w:t>Continue the discussion on whether to introduce explicit indication to identify TN cells from inter-frequency list and inter-RAT frequency list (FFS on the granularity) or whether we rely on implicit information.</w:t>
            </w:r>
          </w:p>
        </w:tc>
      </w:tr>
    </w:tbl>
    <w:p w14:paraId="6DA7073D" w14:textId="6ACDF7BE" w:rsidR="009B4F09" w:rsidRPr="009E4834" w:rsidRDefault="009B4F09" w:rsidP="000B6AD1">
      <w:pPr>
        <w:rPr>
          <w:rFonts w:ascii="Times New Roman" w:hAnsi="Times New Roman"/>
          <w:sz w:val="22"/>
        </w:rPr>
      </w:pPr>
      <w:r w:rsidRPr="009E4834">
        <w:rPr>
          <w:rFonts w:ascii="Times New Roman" w:hAnsi="Times New Roman" w:hint="eastAsia"/>
          <w:sz w:val="22"/>
        </w:rPr>
        <w:t>I</w:t>
      </w:r>
      <w:r w:rsidRPr="009E4834">
        <w:rPr>
          <w:rFonts w:ascii="Times New Roman" w:hAnsi="Times New Roman"/>
          <w:sz w:val="22"/>
        </w:rPr>
        <w:t xml:space="preserve">n this contribution we </w:t>
      </w:r>
      <w:r w:rsidR="00D6055D" w:rsidRPr="009E4834">
        <w:rPr>
          <w:rFonts w:ascii="Times New Roman" w:hAnsi="Times New Roman"/>
          <w:sz w:val="22"/>
        </w:rPr>
        <w:t>further discuss</w:t>
      </w:r>
      <w:r w:rsidR="00E37423" w:rsidRPr="009E4834">
        <w:rPr>
          <w:rFonts w:ascii="Times New Roman" w:hAnsi="Times New Roman"/>
          <w:sz w:val="22"/>
        </w:rPr>
        <w:t xml:space="preserve"> </w:t>
      </w:r>
      <w:r w:rsidR="00480691" w:rsidRPr="009E4834">
        <w:rPr>
          <w:rFonts w:ascii="Times New Roman" w:hAnsi="Times New Roman"/>
          <w:sz w:val="22"/>
        </w:rPr>
        <w:t>issues and potential solutions to cell measurement for reselection in NTN with TN cells involved</w:t>
      </w:r>
      <w:r w:rsidRPr="009E483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941166D" w14:textId="5FFDC5EA" w:rsidR="00EF39D2" w:rsidRPr="00A4434E" w:rsidRDefault="00EF39D2" w:rsidP="00D6055D">
      <w:pPr>
        <w:rPr>
          <w:rFonts w:ascii="Times New Roman" w:hAnsi="Times New Roman"/>
          <w:sz w:val="22"/>
        </w:rPr>
      </w:pPr>
      <w:r w:rsidRPr="00A4434E">
        <w:rPr>
          <w:rFonts w:ascii="Times New Roman" w:hAnsi="Times New Roman"/>
          <w:sz w:val="22"/>
        </w:rPr>
        <w:t>For mobility purposes, the serving cell broadcasts the frequencies of neighbour cells in system information so that UE in IDLE/INACTIVE state can search and measure for possible neighbour cells on these frequencies. Due to the limited range and consecutive deployment of TN cells, the serving cell usually broadcasts or indicates the frequencies of all possible neighbour cells. However, f</w:t>
      </w:r>
      <w:r w:rsidR="00D6055D" w:rsidRPr="00A4434E">
        <w:rPr>
          <w:rFonts w:ascii="Times New Roman" w:hAnsi="Times New Roman"/>
          <w:sz w:val="22"/>
        </w:rPr>
        <w:t>or scenarios of overlapped deployment of NTN and TN with wide difference in cell range, it may not be necessary for all UEs in an NTN cell to measure on all possible neighbour cell frequencies (especially the frequencies of neighbour TN cells) when some neighbour cells could still be far away from the UE. Therefore UE is expected not to measure on the frequency of a TN cell that is not close enough for power saving.</w:t>
      </w:r>
    </w:p>
    <w:p w14:paraId="104FC9CF" w14:textId="7FC42AD6" w:rsidR="00EF39D2" w:rsidRPr="00A4434E" w:rsidRDefault="00EF39D2" w:rsidP="00D6055D">
      <w:pPr>
        <w:rPr>
          <w:rFonts w:ascii="Times New Roman" w:hAnsi="Times New Roman"/>
          <w:sz w:val="22"/>
        </w:rPr>
      </w:pPr>
      <w:r w:rsidRPr="00A4434E">
        <w:rPr>
          <w:rFonts w:ascii="Times New Roman" w:hAnsi="Times New Roman" w:hint="eastAsia"/>
          <w:sz w:val="22"/>
        </w:rPr>
        <w:t>F</w:t>
      </w:r>
      <w:r w:rsidRPr="00A4434E">
        <w:rPr>
          <w:rFonts w:ascii="Times New Roman" w:hAnsi="Times New Roman"/>
          <w:sz w:val="22"/>
        </w:rPr>
        <w:t>or example in Figure 1:</w:t>
      </w:r>
    </w:p>
    <w:p w14:paraId="03A44F5A" w14:textId="27DEDD72" w:rsidR="00EF39D2" w:rsidRPr="00A4434E" w:rsidRDefault="00EF39D2" w:rsidP="00EF39D2">
      <w:pPr>
        <w:pStyle w:val="a6"/>
        <w:numPr>
          <w:ilvl w:val="0"/>
          <w:numId w:val="17"/>
        </w:numPr>
        <w:spacing w:after="0"/>
        <w:ind w:firstLineChars="0"/>
        <w:rPr>
          <w:sz w:val="22"/>
          <w:szCs w:val="22"/>
        </w:rPr>
      </w:pPr>
      <w:r w:rsidRPr="00A4434E">
        <w:rPr>
          <w:sz w:val="22"/>
          <w:szCs w:val="22"/>
        </w:rPr>
        <w:t>UE1 is expected to measure on frequency of TN cell #1 and #2, NOT on frequency of TN cell #3 and #4</w:t>
      </w:r>
    </w:p>
    <w:p w14:paraId="5184DB4E" w14:textId="2BE2340F" w:rsidR="00EF39D2" w:rsidRPr="00A4434E" w:rsidRDefault="00EF39D2" w:rsidP="00EF39D2">
      <w:pPr>
        <w:pStyle w:val="a6"/>
        <w:numPr>
          <w:ilvl w:val="0"/>
          <w:numId w:val="17"/>
        </w:numPr>
        <w:spacing w:after="0"/>
        <w:ind w:firstLineChars="0"/>
        <w:rPr>
          <w:sz w:val="22"/>
          <w:szCs w:val="22"/>
        </w:rPr>
      </w:pPr>
      <w:r w:rsidRPr="00A4434E">
        <w:rPr>
          <w:sz w:val="22"/>
          <w:szCs w:val="22"/>
        </w:rPr>
        <w:t>UE2 is expected to measure on frequency of TN cell #3 and #4, NOT on frequency of TN cell #1 and #2</w:t>
      </w:r>
    </w:p>
    <w:p w14:paraId="23AC402A" w14:textId="1FF3EE88" w:rsidR="00EF39D2" w:rsidRPr="00A4434E" w:rsidRDefault="00EF39D2" w:rsidP="00EF39D2">
      <w:pPr>
        <w:pStyle w:val="a6"/>
        <w:numPr>
          <w:ilvl w:val="0"/>
          <w:numId w:val="17"/>
        </w:numPr>
        <w:spacing w:after="0"/>
        <w:ind w:firstLineChars="0"/>
        <w:rPr>
          <w:sz w:val="22"/>
          <w:szCs w:val="22"/>
        </w:rPr>
      </w:pPr>
      <w:r w:rsidRPr="00A4434E">
        <w:rPr>
          <w:sz w:val="22"/>
          <w:szCs w:val="22"/>
        </w:rPr>
        <w:t>UE3 is expected NOT to measure on any frequency of TN cells</w:t>
      </w:r>
    </w:p>
    <w:p w14:paraId="47BB0F2D" w14:textId="77777777" w:rsidR="00EF39D2" w:rsidRPr="00EF39D2" w:rsidRDefault="00EF39D2" w:rsidP="00EF39D2">
      <w:pPr>
        <w:spacing w:beforeLines="50" w:before="156" w:afterLines="50" w:after="156"/>
        <w:jc w:val="center"/>
        <w:rPr>
          <w:rFonts w:ascii="Times New Roman" w:eastAsiaTheme="minorEastAsia" w:hAnsi="Times New Roman"/>
        </w:rPr>
      </w:pPr>
      <w:r w:rsidRPr="00EF39D2">
        <w:rPr>
          <w:rFonts w:ascii="Times New Roman" w:eastAsiaTheme="minorEastAsia" w:hAnsi="Times New Roman"/>
          <w:noProof/>
        </w:rPr>
        <w:lastRenderedPageBreak/>
        <w:drawing>
          <wp:inline distT="0" distB="0" distL="0" distR="0" wp14:anchorId="791B266E" wp14:editId="53A1E363">
            <wp:extent cx="2315538" cy="1894114"/>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9576" cy="1905597"/>
                    </a:xfrm>
                    <a:prstGeom prst="rect">
                      <a:avLst/>
                    </a:prstGeom>
                    <a:noFill/>
                  </pic:spPr>
                </pic:pic>
              </a:graphicData>
            </a:graphic>
          </wp:inline>
        </w:drawing>
      </w:r>
    </w:p>
    <w:p w14:paraId="6E421B38" w14:textId="77777777" w:rsidR="00EF39D2" w:rsidRPr="00EF39D2" w:rsidRDefault="00EF39D2" w:rsidP="00EF39D2">
      <w:pPr>
        <w:spacing w:beforeLines="50" w:before="156" w:afterLines="50" w:after="156"/>
        <w:jc w:val="center"/>
        <w:rPr>
          <w:rFonts w:ascii="Times New Roman" w:eastAsiaTheme="minorEastAsia" w:hAnsi="Times New Roman"/>
        </w:rPr>
      </w:pPr>
      <w:r w:rsidRPr="00EF39D2">
        <w:rPr>
          <w:rFonts w:ascii="Times New Roman" w:eastAsiaTheme="minorEastAsia" w:hAnsi="Times New Roman"/>
        </w:rPr>
        <w:t>Figure 1. Overlapped deployment of NTN and TN cells</w:t>
      </w:r>
    </w:p>
    <w:p w14:paraId="29920E28" w14:textId="77777777" w:rsidR="000B79D8" w:rsidRPr="000B79D8" w:rsidRDefault="00A4434E" w:rsidP="00D6055D">
      <w:pPr>
        <w:rPr>
          <w:rFonts w:ascii="Times New Roman" w:hAnsi="Times New Roman"/>
          <w:sz w:val="22"/>
        </w:rPr>
      </w:pPr>
      <w:r w:rsidRPr="000B79D8">
        <w:rPr>
          <w:rFonts w:ascii="Times New Roman" w:hAnsi="Times New Roman"/>
          <w:sz w:val="22"/>
        </w:rPr>
        <w:t>The TN cell distribution could be irregular w.r.t. NTN cell, complementary or overlapped, in different directions.</w:t>
      </w:r>
      <w:r w:rsidR="00E845F4" w:rsidRPr="000B79D8">
        <w:rPr>
          <w:rFonts w:ascii="Times New Roman" w:hAnsi="Times New Roman"/>
          <w:sz w:val="22"/>
        </w:rPr>
        <w:t xml:space="preserve"> To represent the TN area (i.e., where TN cells are deployed), either relative location from TN cells to the </w:t>
      </w:r>
      <w:r w:rsidR="009C0D31" w:rsidRPr="000B79D8">
        <w:rPr>
          <w:rFonts w:ascii="Times New Roman" w:hAnsi="Times New Roman"/>
          <w:sz w:val="22"/>
        </w:rPr>
        <w:t xml:space="preserve">serving </w:t>
      </w:r>
      <w:r w:rsidR="00E845F4" w:rsidRPr="000B79D8">
        <w:rPr>
          <w:rFonts w:ascii="Times New Roman" w:hAnsi="Times New Roman"/>
          <w:sz w:val="22"/>
        </w:rPr>
        <w:t>NTN cell or absolute location of TN cells can be considered.</w:t>
      </w:r>
      <w:r w:rsidR="009C0D31" w:rsidRPr="000B79D8">
        <w:rPr>
          <w:rFonts w:ascii="Times New Roman" w:hAnsi="Times New Roman"/>
          <w:sz w:val="22"/>
        </w:rPr>
        <w:t xml:space="preserve"> </w:t>
      </w:r>
    </w:p>
    <w:p w14:paraId="24FB5BB9" w14:textId="67820C87" w:rsidR="000B79D8" w:rsidRPr="000B79D8" w:rsidRDefault="000B79D8" w:rsidP="00D6055D">
      <w:pPr>
        <w:rPr>
          <w:rFonts w:ascii="Times New Roman" w:hAnsi="Times New Roman"/>
          <w:b/>
          <w:bCs/>
          <w:sz w:val="22"/>
        </w:rPr>
      </w:pPr>
      <w:r w:rsidRPr="000B79D8">
        <w:rPr>
          <w:rFonts w:ascii="Times New Roman" w:hAnsi="Times New Roman" w:hint="eastAsia"/>
          <w:b/>
          <w:bCs/>
          <w:sz w:val="22"/>
        </w:rPr>
        <w:t>O</w:t>
      </w:r>
      <w:r w:rsidRPr="000B79D8">
        <w:rPr>
          <w:rFonts w:ascii="Times New Roman" w:hAnsi="Times New Roman"/>
          <w:b/>
          <w:bCs/>
          <w:sz w:val="22"/>
        </w:rPr>
        <w:t>bservation 1: The TN area can be represented either as relative location from TN cells to the serving NTN cell or as absolute location of TN cells.</w:t>
      </w:r>
    </w:p>
    <w:p w14:paraId="0522B233" w14:textId="01FEB121" w:rsidR="00A4434E" w:rsidRPr="000B79D8" w:rsidRDefault="009C0D31" w:rsidP="00D6055D">
      <w:pPr>
        <w:rPr>
          <w:rFonts w:ascii="Times New Roman" w:hAnsi="Times New Roman"/>
          <w:sz w:val="22"/>
        </w:rPr>
      </w:pPr>
      <w:r w:rsidRPr="000B79D8">
        <w:rPr>
          <w:rFonts w:ascii="Times New Roman" w:hAnsi="Times New Roman"/>
          <w:sz w:val="22"/>
        </w:rPr>
        <w:t>For example, as shown in Figure 2, the relative location of TN area can be defined by distance and/or horizonal angle thresholds referring to the NTN cell reference location. Besides, the beam selected by UE can also be considered as an indicator of the TN area.</w:t>
      </w:r>
      <w:r w:rsidR="00F56D74">
        <w:rPr>
          <w:rFonts w:ascii="Times New Roman" w:hAnsi="Times New Roman"/>
          <w:sz w:val="22"/>
        </w:rPr>
        <w:t xml:space="preserve"> At least for quasi-E</w:t>
      </w:r>
      <w:r w:rsidR="00F56D74">
        <w:rPr>
          <w:rFonts w:ascii="Times New Roman" w:hAnsi="Times New Roman" w:hint="eastAsia"/>
          <w:sz w:val="22"/>
        </w:rPr>
        <w:t>arth-fixed</w:t>
      </w:r>
      <w:r w:rsidR="00F56D74">
        <w:rPr>
          <w:rFonts w:ascii="Times New Roman" w:hAnsi="Times New Roman"/>
          <w:sz w:val="22"/>
        </w:rPr>
        <w:t xml:space="preserve"> NTN cells, the options of </w:t>
      </w:r>
      <w:r w:rsidR="00F56D74" w:rsidRPr="00F56D74">
        <w:rPr>
          <w:rFonts w:ascii="Times New Roman" w:hAnsi="Times New Roman"/>
          <w:sz w:val="22"/>
        </w:rPr>
        <w:t>relative location</w:t>
      </w:r>
      <w:r w:rsidR="00F56D74">
        <w:rPr>
          <w:rFonts w:ascii="Times New Roman" w:hAnsi="Times New Roman"/>
          <w:sz w:val="22"/>
        </w:rPr>
        <w:t xml:space="preserve"> can be applied</w:t>
      </w:r>
      <w:r w:rsidR="001821F6">
        <w:rPr>
          <w:rFonts w:ascii="Times New Roman" w:hAnsi="Times New Roman"/>
          <w:sz w:val="22"/>
        </w:rPr>
        <w:t xml:space="preserve">, and </w:t>
      </w:r>
      <w:r w:rsidR="001821F6" w:rsidRPr="001821F6">
        <w:rPr>
          <w:rFonts w:ascii="Times New Roman" w:hAnsi="Times New Roman"/>
          <w:sz w:val="22"/>
        </w:rPr>
        <w:t xml:space="preserve">NTN cell parameters indicated for other purposes </w:t>
      </w:r>
      <w:r w:rsidR="001821F6">
        <w:rPr>
          <w:rFonts w:ascii="Times New Roman" w:hAnsi="Times New Roman"/>
          <w:sz w:val="22"/>
        </w:rPr>
        <w:t xml:space="preserve">(e.g., cell reference location) </w:t>
      </w:r>
      <w:r w:rsidR="001821F6" w:rsidRPr="001821F6">
        <w:rPr>
          <w:rFonts w:ascii="Times New Roman" w:hAnsi="Times New Roman"/>
          <w:sz w:val="22"/>
        </w:rPr>
        <w:t>can be reused.</w:t>
      </w:r>
    </w:p>
    <w:p w14:paraId="53E353CB" w14:textId="4D9332F0" w:rsidR="009C0D31" w:rsidRDefault="000B79D8" w:rsidP="000B79D8">
      <w:pPr>
        <w:jc w:val="center"/>
        <w:rPr>
          <w:rFonts w:ascii="Times New Roman" w:hAnsi="Times New Roman"/>
          <w:sz w:val="20"/>
          <w:szCs w:val="20"/>
        </w:rPr>
      </w:pPr>
      <w:r>
        <w:rPr>
          <w:rFonts w:ascii="Times New Roman" w:hAnsi="Times New Roman"/>
          <w:noProof/>
          <w:sz w:val="20"/>
          <w:szCs w:val="20"/>
        </w:rPr>
        <w:drawing>
          <wp:inline distT="0" distB="0" distL="0" distR="0" wp14:anchorId="38C5D9CB" wp14:editId="708C3326">
            <wp:extent cx="5086828" cy="137674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7189" cy="1379550"/>
                    </a:xfrm>
                    <a:prstGeom prst="rect">
                      <a:avLst/>
                    </a:prstGeom>
                    <a:noFill/>
                  </pic:spPr>
                </pic:pic>
              </a:graphicData>
            </a:graphic>
          </wp:inline>
        </w:drawing>
      </w:r>
    </w:p>
    <w:p w14:paraId="2315FE07" w14:textId="4E908F8F" w:rsidR="000B79D8" w:rsidRPr="001821F6" w:rsidRDefault="000B79D8" w:rsidP="001821F6">
      <w:pPr>
        <w:spacing w:beforeLines="50" w:before="156" w:afterLines="50" w:after="156"/>
        <w:jc w:val="center"/>
        <w:rPr>
          <w:rFonts w:ascii="Times New Roman" w:eastAsiaTheme="minorEastAsia" w:hAnsi="Times New Roman"/>
        </w:rPr>
      </w:pPr>
      <w:r w:rsidRPr="001821F6">
        <w:rPr>
          <w:rFonts w:ascii="Times New Roman" w:eastAsiaTheme="minorEastAsia" w:hAnsi="Times New Roman" w:hint="eastAsia"/>
        </w:rPr>
        <w:t>F</w:t>
      </w:r>
      <w:r w:rsidRPr="001821F6">
        <w:rPr>
          <w:rFonts w:ascii="Times New Roman" w:eastAsiaTheme="minorEastAsia" w:hAnsi="Times New Roman"/>
        </w:rPr>
        <w:t>igure 2. Representation of TN area as relative location from TN cells to the serving NTN cell</w:t>
      </w:r>
    </w:p>
    <w:p w14:paraId="5235CC3F" w14:textId="7718D716" w:rsidR="00F56D74" w:rsidRPr="00F56D74" w:rsidRDefault="00F56D74" w:rsidP="00D6055D">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bservation 2: Representing the TN area as relative location from TN cells to the serving NTN cell is at least feasible to the quasi-E</w:t>
      </w:r>
      <w:r w:rsidRPr="00F56D74">
        <w:rPr>
          <w:rFonts w:ascii="Times New Roman" w:hAnsi="Times New Roman" w:hint="eastAsia"/>
          <w:b/>
          <w:bCs/>
          <w:sz w:val="22"/>
        </w:rPr>
        <w:t>arth-fixed</w:t>
      </w:r>
      <w:r w:rsidRPr="00F56D74">
        <w:rPr>
          <w:rFonts w:ascii="Times New Roman" w:hAnsi="Times New Roman"/>
          <w:b/>
          <w:bCs/>
          <w:sz w:val="22"/>
        </w:rPr>
        <w:t xml:space="preserve"> NTN cells.</w:t>
      </w:r>
    </w:p>
    <w:p w14:paraId="6CFD1171" w14:textId="30319A54" w:rsidR="00A4434E" w:rsidRDefault="00F56D74" w:rsidP="00D6055D">
      <w:pPr>
        <w:rPr>
          <w:rFonts w:ascii="Times New Roman" w:hAnsi="Times New Roman"/>
          <w:sz w:val="22"/>
        </w:rPr>
      </w:pPr>
      <w:r w:rsidRPr="00F56D74">
        <w:rPr>
          <w:rFonts w:ascii="Times New Roman" w:hAnsi="Times New Roman"/>
          <w:sz w:val="22"/>
        </w:rPr>
        <w:t>For earth-moving NTN cells, the values of the relative location as well as the cell reference location change over time</w:t>
      </w:r>
      <w:r>
        <w:rPr>
          <w:rFonts w:ascii="Times New Roman" w:hAnsi="Times New Roman"/>
          <w:sz w:val="22"/>
        </w:rPr>
        <w:t xml:space="preserve">, and thus more signalling overhead is expected. As an alternative, options of </w:t>
      </w:r>
      <w:r w:rsidRPr="000B79D8">
        <w:rPr>
          <w:rFonts w:ascii="Times New Roman" w:hAnsi="Times New Roman"/>
          <w:sz w:val="22"/>
        </w:rPr>
        <w:t>absolute location of TN cells can be considered</w:t>
      </w:r>
      <w:r>
        <w:rPr>
          <w:rFonts w:ascii="Times New Roman" w:hAnsi="Times New Roman"/>
          <w:sz w:val="22"/>
        </w:rPr>
        <w:t xml:space="preserve"> as in Figure 3.</w:t>
      </w:r>
      <w:r w:rsidR="001821F6">
        <w:rPr>
          <w:rFonts w:ascii="Times New Roman" w:hAnsi="Times New Roman"/>
          <w:sz w:val="22"/>
        </w:rPr>
        <w:t xml:space="preserve"> In this alternative, some </w:t>
      </w:r>
      <w:r w:rsidR="001821F6" w:rsidRPr="001821F6">
        <w:rPr>
          <w:rFonts w:ascii="Times New Roman" w:hAnsi="Times New Roman"/>
          <w:sz w:val="22"/>
        </w:rPr>
        <w:t>TN cell parameters need to be indicated</w:t>
      </w:r>
      <w:r w:rsidR="001821F6">
        <w:rPr>
          <w:rFonts w:ascii="Times New Roman" w:hAnsi="Times New Roman"/>
          <w:sz w:val="22"/>
        </w:rPr>
        <w:t xml:space="preserve"> possibly</w:t>
      </w:r>
      <w:r w:rsidR="001821F6" w:rsidRPr="001821F6">
        <w:rPr>
          <w:rFonts w:ascii="Times New Roman" w:hAnsi="Times New Roman"/>
          <w:sz w:val="22"/>
        </w:rPr>
        <w:t xml:space="preserve"> with more SI or RRC overhead</w:t>
      </w:r>
      <w:r w:rsidR="001821F6">
        <w:rPr>
          <w:rFonts w:ascii="Times New Roman" w:hAnsi="Times New Roman"/>
          <w:sz w:val="22"/>
        </w:rPr>
        <w:t>. Meanwhile, there could be</w:t>
      </w:r>
      <w:r w:rsidR="001821F6" w:rsidRPr="001821F6">
        <w:rPr>
          <w:rFonts w:ascii="Times New Roman" w:hAnsi="Times New Roman"/>
          <w:sz w:val="22"/>
        </w:rPr>
        <w:t xml:space="preserve"> security or regulation restrictions</w:t>
      </w:r>
      <w:r w:rsidR="001821F6">
        <w:rPr>
          <w:rFonts w:ascii="Times New Roman" w:hAnsi="Times New Roman"/>
          <w:sz w:val="22"/>
        </w:rPr>
        <w:t xml:space="preserve"> indicating the absolute location of a specific TN cell</w:t>
      </w:r>
      <w:r w:rsidR="001821F6" w:rsidRPr="001821F6">
        <w:rPr>
          <w:rFonts w:ascii="Times New Roman" w:hAnsi="Times New Roman"/>
          <w:sz w:val="22"/>
        </w:rPr>
        <w:t>.</w:t>
      </w:r>
    </w:p>
    <w:p w14:paraId="115BA665" w14:textId="06EBCD0A" w:rsidR="00F56D74" w:rsidRDefault="00F56D74" w:rsidP="00F56D74">
      <w:pPr>
        <w:jc w:val="center"/>
        <w:rPr>
          <w:rFonts w:ascii="Times New Roman" w:hAnsi="Times New Roman"/>
          <w:sz w:val="22"/>
        </w:rPr>
      </w:pPr>
      <w:r>
        <w:rPr>
          <w:rFonts w:ascii="Times New Roman" w:hAnsi="Times New Roman"/>
          <w:noProof/>
          <w:sz w:val="22"/>
        </w:rPr>
        <w:drawing>
          <wp:inline distT="0" distB="0" distL="0" distR="0" wp14:anchorId="78B93B9F" wp14:editId="151E835B">
            <wp:extent cx="4870103" cy="10627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4891" cy="1072504"/>
                    </a:xfrm>
                    <a:prstGeom prst="rect">
                      <a:avLst/>
                    </a:prstGeom>
                    <a:noFill/>
                  </pic:spPr>
                </pic:pic>
              </a:graphicData>
            </a:graphic>
          </wp:inline>
        </w:drawing>
      </w:r>
    </w:p>
    <w:p w14:paraId="755B2F84" w14:textId="0233304B" w:rsidR="00F56D74" w:rsidRPr="001821F6" w:rsidRDefault="00F56D74" w:rsidP="001821F6">
      <w:pPr>
        <w:spacing w:beforeLines="50" w:before="156" w:afterLines="50" w:after="156"/>
        <w:jc w:val="center"/>
        <w:rPr>
          <w:rFonts w:ascii="Times New Roman" w:eastAsiaTheme="minorEastAsia" w:hAnsi="Times New Roman"/>
        </w:rPr>
      </w:pPr>
      <w:r w:rsidRPr="001821F6">
        <w:rPr>
          <w:rFonts w:ascii="Times New Roman" w:eastAsiaTheme="minorEastAsia" w:hAnsi="Times New Roman" w:hint="eastAsia"/>
        </w:rPr>
        <w:t>F</w:t>
      </w:r>
      <w:r w:rsidRPr="001821F6">
        <w:rPr>
          <w:rFonts w:ascii="Times New Roman" w:eastAsiaTheme="minorEastAsia" w:hAnsi="Times New Roman"/>
        </w:rPr>
        <w:t>igure 3. Representation of TN area as absolute location of TN cells</w:t>
      </w:r>
    </w:p>
    <w:p w14:paraId="24D0EF8C" w14:textId="3BBE63EC" w:rsidR="00F56D74" w:rsidRPr="00F56D74" w:rsidRDefault="00F56D74" w:rsidP="00F56D74">
      <w:pPr>
        <w:rPr>
          <w:rFonts w:ascii="Times New Roman" w:hAnsi="Times New Roman"/>
          <w:b/>
          <w:bCs/>
          <w:sz w:val="22"/>
        </w:rPr>
      </w:pPr>
      <w:r w:rsidRPr="00F56D74">
        <w:rPr>
          <w:rFonts w:ascii="Times New Roman" w:hAnsi="Times New Roman" w:hint="eastAsia"/>
          <w:b/>
          <w:bCs/>
          <w:sz w:val="22"/>
        </w:rPr>
        <w:lastRenderedPageBreak/>
        <w:t>O</w:t>
      </w:r>
      <w:r w:rsidRPr="00F56D74">
        <w:rPr>
          <w:rFonts w:ascii="Times New Roman" w:hAnsi="Times New Roman"/>
          <w:b/>
          <w:bCs/>
          <w:sz w:val="22"/>
        </w:rPr>
        <w:t xml:space="preserve">bservation </w:t>
      </w:r>
      <w:r>
        <w:rPr>
          <w:rFonts w:ascii="Times New Roman" w:hAnsi="Times New Roman"/>
          <w:b/>
          <w:bCs/>
          <w:sz w:val="22"/>
        </w:rPr>
        <w:t>3</w:t>
      </w:r>
      <w:r w:rsidRPr="00F56D74">
        <w:rPr>
          <w:rFonts w:ascii="Times New Roman" w:hAnsi="Times New Roman"/>
          <w:b/>
          <w:bCs/>
          <w:sz w:val="22"/>
        </w:rPr>
        <w:t xml:space="preserve">: Representing the TN area as </w:t>
      </w:r>
      <w:r>
        <w:rPr>
          <w:rFonts w:ascii="Times New Roman" w:hAnsi="Times New Roman"/>
          <w:b/>
          <w:bCs/>
          <w:sz w:val="22"/>
        </w:rPr>
        <w:t xml:space="preserve">absolute location of </w:t>
      </w:r>
      <w:r w:rsidRPr="00F56D74">
        <w:rPr>
          <w:rFonts w:ascii="Times New Roman" w:hAnsi="Times New Roman"/>
          <w:b/>
          <w:bCs/>
          <w:sz w:val="22"/>
        </w:rPr>
        <w:t xml:space="preserve">TN cells is feasible to </w:t>
      </w:r>
      <w:r>
        <w:rPr>
          <w:rFonts w:ascii="Times New Roman" w:hAnsi="Times New Roman"/>
          <w:b/>
          <w:bCs/>
          <w:sz w:val="22"/>
        </w:rPr>
        <w:t xml:space="preserve">both </w:t>
      </w:r>
      <w:r w:rsidRPr="00F56D74">
        <w:rPr>
          <w:rFonts w:ascii="Times New Roman" w:hAnsi="Times New Roman"/>
          <w:b/>
          <w:bCs/>
          <w:sz w:val="22"/>
        </w:rPr>
        <w:t>the quasi-E</w:t>
      </w:r>
      <w:r w:rsidRPr="00F56D74">
        <w:rPr>
          <w:rFonts w:ascii="Times New Roman" w:hAnsi="Times New Roman" w:hint="eastAsia"/>
          <w:b/>
          <w:bCs/>
          <w:sz w:val="22"/>
        </w:rPr>
        <w:t>arth-fixed</w:t>
      </w:r>
      <w:r w:rsidRPr="00F56D74">
        <w:rPr>
          <w:rFonts w:ascii="Times New Roman" w:hAnsi="Times New Roman"/>
          <w:b/>
          <w:bCs/>
          <w:sz w:val="22"/>
        </w:rPr>
        <w:t xml:space="preserve"> cells</w:t>
      </w:r>
      <w:r>
        <w:rPr>
          <w:rFonts w:ascii="Times New Roman" w:hAnsi="Times New Roman"/>
          <w:b/>
          <w:bCs/>
          <w:sz w:val="22"/>
        </w:rPr>
        <w:t xml:space="preserve"> and Earth-moving cells</w:t>
      </w:r>
      <w:r w:rsidRPr="00F56D74">
        <w:rPr>
          <w:rFonts w:ascii="Times New Roman" w:hAnsi="Times New Roman"/>
          <w:b/>
          <w:bCs/>
          <w:sz w:val="22"/>
        </w:rPr>
        <w:t>.</w:t>
      </w:r>
      <w:r w:rsidR="001821F6">
        <w:rPr>
          <w:rFonts w:ascii="Times New Roman" w:hAnsi="Times New Roman"/>
          <w:b/>
          <w:bCs/>
          <w:sz w:val="22"/>
        </w:rPr>
        <w:t xml:space="preserve"> The signalling overhead and possible security issues need to be considered.</w:t>
      </w:r>
    </w:p>
    <w:p w14:paraId="38FBE85D" w14:textId="44A7F797" w:rsidR="00F56D74" w:rsidRDefault="001821F6" w:rsidP="00D6055D">
      <w:pPr>
        <w:rPr>
          <w:rFonts w:ascii="Times New Roman" w:hAnsi="Times New Roman"/>
          <w:sz w:val="22"/>
        </w:rPr>
      </w:pPr>
      <w:r>
        <w:rPr>
          <w:rFonts w:ascii="Times New Roman" w:hAnsi="Times New Roman" w:hint="eastAsia"/>
          <w:sz w:val="22"/>
        </w:rPr>
        <w:t>T</w:t>
      </w:r>
      <w:r>
        <w:rPr>
          <w:rFonts w:ascii="Times New Roman" w:hAnsi="Times New Roman"/>
          <w:sz w:val="22"/>
        </w:rPr>
        <w:t>herefore we think it is better to further discuss the options in RAN2 to find a feasible solution for NTN.</w:t>
      </w:r>
    </w:p>
    <w:p w14:paraId="6A132E52" w14:textId="783B1B18" w:rsidR="00954892" w:rsidRPr="001821F6" w:rsidRDefault="00954892" w:rsidP="00954892">
      <w:pPr>
        <w:rPr>
          <w:rFonts w:ascii="Times New Roman" w:eastAsiaTheme="minorEastAsia" w:hAnsi="Times New Roman"/>
          <w:b/>
          <w:bCs/>
          <w:sz w:val="22"/>
        </w:rPr>
      </w:pPr>
      <w:r w:rsidRPr="001821F6">
        <w:rPr>
          <w:rFonts w:ascii="Times New Roman" w:hAnsi="Times New Roman"/>
          <w:b/>
          <w:bCs/>
          <w:sz w:val="22"/>
        </w:rPr>
        <w:t xml:space="preserve">Proposal </w:t>
      </w:r>
      <w:r w:rsidR="001821F6" w:rsidRPr="001821F6">
        <w:rPr>
          <w:rFonts w:ascii="Times New Roman" w:hAnsi="Times New Roman"/>
          <w:b/>
          <w:bCs/>
          <w:sz w:val="22"/>
        </w:rPr>
        <w:t>1</w:t>
      </w:r>
      <w:r w:rsidRPr="001821F6">
        <w:rPr>
          <w:rFonts w:ascii="Times New Roman" w:hAnsi="Times New Roman"/>
          <w:b/>
          <w:bCs/>
          <w:sz w:val="22"/>
        </w:rPr>
        <w:t>: To reduce measurements on TN frequencies in NTN-TN mobility, RAN2 to consider the above options to indicate the area where TN is available.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77B06160" w:rsidR="00A90536" w:rsidRPr="001821F6" w:rsidRDefault="00A90536" w:rsidP="004A48D0">
      <w:pPr>
        <w:rPr>
          <w:rFonts w:ascii="Times New Roman" w:hAnsi="Times New Roman"/>
          <w:sz w:val="22"/>
          <w:lang w:val="en-GB"/>
        </w:rPr>
      </w:pPr>
      <w:r w:rsidRPr="001821F6">
        <w:rPr>
          <w:rFonts w:ascii="Times New Roman" w:hAnsi="Times New Roman"/>
          <w:sz w:val="22"/>
          <w:lang w:val="en-GB"/>
        </w:rPr>
        <w:t xml:space="preserve">In this contribution, </w:t>
      </w:r>
      <w:r w:rsidR="000E18AA" w:rsidRPr="001821F6">
        <w:rPr>
          <w:rFonts w:ascii="Times New Roman" w:hAnsi="Times New Roman"/>
          <w:sz w:val="22"/>
          <w:lang w:val="en-GB"/>
        </w:rPr>
        <w:t xml:space="preserve">we </w:t>
      </w:r>
      <w:r w:rsidR="004F3048" w:rsidRPr="001821F6">
        <w:rPr>
          <w:rFonts w:ascii="Times New Roman" w:hAnsi="Times New Roman"/>
          <w:sz w:val="22"/>
        </w:rPr>
        <w:t>provide</w:t>
      </w:r>
      <w:r w:rsidR="006A7F06" w:rsidRPr="001821F6">
        <w:rPr>
          <w:rFonts w:ascii="Times New Roman" w:hAnsi="Times New Roman"/>
          <w:sz w:val="22"/>
        </w:rPr>
        <w:t xml:space="preserve"> further</w:t>
      </w:r>
      <w:r w:rsidR="004F3048" w:rsidRPr="001821F6">
        <w:rPr>
          <w:rFonts w:ascii="Times New Roman" w:hAnsi="Times New Roman"/>
          <w:sz w:val="22"/>
        </w:rPr>
        <w:t xml:space="preserve"> issue analysis </w:t>
      </w:r>
      <w:r w:rsidR="001821F6" w:rsidRPr="001821F6">
        <w:rPr>
          <w:rFonts w:ascii="Times New Roman" w:hAnsi="Times New Roman"/>
          <w:sz w:val="22"/>
        </w:rPr>
        <w:t>and potential solutions to cell measurement for reselection in NTN with TN cells involved</w:t>
      </w:r>
      <w:r w:rsidR="00632713" w:rsidRPr="001821F6">
        <w:rPr>
          <w:rFonts w:ascii="Times New Roman" w:hAnsi="Times New Roman"/>
          <w:sz w:val="22"/>
          <w:lang w:val="en-GB"/>
        </w:rPr>
        <w:t>.</w:t>
      </w:r>
      <w:r w:rsidR="00160536" w:rsidRPr="001821F6">
        <w:rPr>
          <w:rFonts w:ascii="Times New Roman" w:hAnsi="Times New Roman"/>
          <w:sz w:val="22"/>
          <w:lang w:val="en-GB"/>
        </w:rPr>
        <w:t xml:space="preserve"> T</w:t>
      </w:r>
      <w:r w:rsidR="00513357" w:rsidRPr="001821F6">
        <w:rPr>
          <w:rFonts w:ascii="Times New Roman" w:hAnsi="Times New Roman"/>
          <w:sz w:val="22"/>
          <w:lang w:val="en-GB"/>
        </w:rPr>
        <w:t>he following</w:t>
      </w:r>
      <w:r w:rsidR="007A72BF" w:rsidRPr="001821F6">
        <w:rPr>
          <w:rFonts w:ascii="Times New Roman" w:hAnsi="Times New Roman"/>
          <w:sz w:val="22"/>
          <w:lang w:val="en-GB"/>
        </w:rPr>
        <w:t xml:space="preserve"> </w:t>
      </w:r>
      <w:r w:rsidR="007A72BF" w:rsidRPr="001821F6">
        <w:rPr>
          <w:rFonts w:ascii="Times New Roman" w:hAnsi="Times New Roman" w:hint="eastAsia"/>
          <w:sz w:val="22"/>
          <w:lang w:val="en-GB"/>
        </w:rPr>
        <w:t>o</w:t>
      </w:r>
      <w:r w:rsidR="007A72BF" w:rsidRPr="001821F6">
        <w:rPr>
          <w:rFonts w:ascii="Times New Roman" w:hAnsi="Times New Roman"/>
          <w:sz w:val="22"/>
          <w:lang w:val="en-GB"/>
        </w:rPr>
        <w:t>b</w:t>
      </w:r>
      <w:r w:rsidR="007A72BF" w:rsidRPr="001821F6">
        <w:rPr>
          <w:rFonts w:ascii="Times New Roman" w:hAnsi="Times New Roman" w:hint="eastAsia"/>
          <w:sz w:val="22"/>
          <w:lang w:val="en-GB"/>
        </w:rPr>
        <w:t>servation</w:t>
      </w:r>
      <w:r w:rsidR="007A72BF" w:rsidRPr="001821F6">
        <w:rPr>
          <w:rFonts w:ascii="Times New Roman" w:hAnsi="Times New Roman"/>
          <w:sz w:val="22"/>
          <w:lang w:val="en-GB"/>
        </w:rPr>
        <w:t xml:space="preserve"> </w:t>
      </w:r>
      <w:r w:rsidR="00BE7260" w:rsidRPr="001821F6">
        <w:rPr>
          <w:rFonts w:ascii="Times New Roman" w:hAnsi="Times New Roman"/>
          <w:sz w:val="22"/>
          <w:lang w:val="en-GB"/>
        </w:rPr>
        <w:t>are</w:t>
      </w:r>
      <w:r w:rsidR="00513357" w:rsidRPr="001821F6">
        <w:rPr>
          <w:rFonts w:ascii="Times New Roman" w:hAnsi="Times New Roman"/>
          <w:sz w:val="22"/>
          <w:lang w:val="en-GB"/>
        </w:rPr>
        <w:t xml:space="preserve"> given</w:t>
      </w:r>
      <w:r w:rsidRPr="001821F6">
        <w:rPr>
          <w:rFonts w:ascii="Times New Roman" w:hAnsi="Times New Roman"/>
          <w:sz w:val="22"/>
          <w:lang w:val="en-GB"/>
        </w:rPr>
        <w:t>:</w:t>
      </w:r>
    </w:p>
    <w:p w14:paraId="00403918" w14:textId="77777777" w:rsidR="001821F6" w:rsidRPr="000B79D8" w:rsidRDefault="001821F6" w:rsidP="001821F6">
      <w:pPr>
        <w:rPr>
          <w:rFonts w:ascii="Times New Roman" w:hAnsi="Times New Roman"/>
          <w:b/>
          <w:bCs/>
          <w:sz w:val="22"/>
        </w:rPr>
      </w:pPr>
      <w:r w:rsidRPr="000B79D8">
        <w:rPr>
          <w:rFonts w:ascii="Times New Roman" w:hAnsi="Times New Roman" w:hint="eastAsia"/>
          <w:b/>
          <w:bCs/>
          <w:sz w:val="22"/>
        </w:rPr>
        <w:t>O</w:t>
      </w:r>
      <w:r w:rsidRPr="000B79D8">
        <w:rPr>
          <w:rFonts w:ascii="Times New Roman" w:hAnsi="Times New Roman"/>
          <w:b/>
          <w:bCs/>
          <w:sz w:val="22"/>
        </w:rPr>
        <w:t>bservation 1: The TN area can be represented either as relative location from TN cells to the serving NTN cell or as absolute location of TN cells.</w:t>
      </w:r>
    </w:p>
    <w:p w14:paraId="3ADAFEB9" w14:textId="77777777" w:rsidR="001821F6" w:rsidRPr="00F56D74" w:rsidRDefault="001821F6" w:rsidP="001821F6">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bservation 2: Representing the TN area as relative location from TN cells to the serving NTN cell is at least feasible to the quasi-E</w:t>
      </w:r>
      <w:r w:rsidRPr="00F56D74">
        <w:rPr>
          <w:rFonts w:ascii="Times New Roman" w:hAnsi="Times New Roman" w:hint="eastAsia"/>
          <w:b/>
          <w:bCs/>
          <w:sz w:val="22"/>
        </w:rPr>
        <w:t>arth-fixed</w:t>
      </w:r>
      <w:r w:rsidRPr="00F56D74">
        <w:rPr>
          <w:rFonts w:ascii="Times New Roman" w:hAnsi="Times New Roman"/>
          <w:b/>
          <w:bCs/>
          <w:sz w:val="22"/>
        </w:rPr>
        <w:t xml:space="preserve"> NTN cells.</w:t>
      </w:r>
    </w:p>
    <w:p w14:paraId="7E6AD11A" w14:textId="77777777" w:rsidR="001821F6" w:rsidRPr="00F56D74" w:rsidRDefault="001821F6" w:rsidP="001821F6">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 xml:space="preserve">bservation </w:t>
      </w:r>
      <w:r>
        <w:rPr>
          <w:rFonts w:ascii="Times New Roman" w:hAnsi="Times New Roman"/>
          <w:b/>
          <w:bCs/>
          <w:sz w:val="22"/>
        </w:rPr>
        <w:t>3</w:t>
      </w:r>
      <w:r w:rsidRPr="00F56D74">
        <w:rPr>
          <w:rFonts w:ascii="Times New Roman" w:hAnsi="Times New Roman"/>
          <w:b/>
          <w:bCs/>
          <w:sz w:val="22"/>
        </w:rPr>
        <w:t xml:space="preserve">: Representing the TN area as </w:t>
      </w:r>
      <w:r>
        <w:rPr>
          <w:rFonts w:ascii="Times New Roman" w:hAnsi="Times New Roman"/>
          <w:b/>
          <w:bCs/>
          <w:sz w:val="22"/>
        </w:rPr>
        <w:t xml:space="preserve">absolute location of </w:t>
      </w:r>
      <w:r w:rsidRPr="00F56D74">
        <w:rPr>
          <w:rFonts w:ascii="Times New Roman" w:hAnsi="Times New Roman"/>
          <w:b/>
          <w:bCs/>
          <w:sz w:val="22"/>
        </w:rPr>
        <w:t xml:space="preserve">TN cells is feasible to </w:t>
      </w:r>
      <w:r>
        <w:rPr>
          <w:rFonts w:ascii="Times New Roman" w:hAnsi="Times New Roman"/>
          <w:b/>
          <w:bCs/>
          <w:sz w:val="22"/>
        </w:rPr>
        <w:t xml:space="preserve">both </w:t>
      </w:r>
      <w:r w:rsidRPr="00F56D74">
        <w:rPr>
          <w:rFonts w:ascii="Times New Roman" w:hAnsi="Times New Roman"/>
          <w:b/>
          <w:bCs/>
          <w:sz w:val="22"/>
        </w:rPr>
        <w:t>the quasi-E</w:t>
      </w:r>
      <w:r w:rsidRPr="00F56D74">
        <w:rPr>
          <w:rFonts w:ascii="Times New Roman" w:hAnsi="Times New Roman" w:hint="eastAsia"/>
          <w:b/>
          <w:bCs/>
          <w:sz w:val="22"/>
        </w:rPr>
        <w:t>arth-fixed</w:t>
      </w:r>
      <w:r w:rsidRPr="00F56D74">
        <w:rPr>
          <w:rFonts w:ascii="Times New Roman" w:hAnsi="Times New Roman"/>
          <w:b/>
          <w:bCs/>
          <w:sz w:val="22"/>
        </w:rPr>
        <w:t xml:space="preserve"> cells</w:t>
      </w:r>
      <w:r>
        <w:rPr>
          <w:rFonts w:ascii="Times New Roman" w:hAnsi="Times New Roman"/>
          <w:b/>
          <w:bCs/>
          <w:sz w:val="22"/>
        </w:rPr>
        <w:t xml:space="preserve"> and Earth-moving cells</w:t>
      </w:r>
      <w:r w:rsidRPr="00F56D74">
        <w:rPr>
          <w:rFonts w:ascii="Times New Roman" w:hAnsi="Times New Roman"/>
          <w:b/>
          <w:bCs/>
          <w:sz w:val="22"/>
        </w:rPr>
        <w:t>.</w:t>
      </w:r>
      <w:r>
        <w:rPr>
          <w:rFonts w:ascii="Times New Roman" w:hAnsi="Times New Roman"/>
          <w:b/>
          <w:bCs/>
          <w:sz w:val="22"/>
        </w:rPr>
        <w:t xml:space="preserve"> The signalling overhead and possible security issues need to be considered.</w:t>
      </w:r>
    </w:p>
    <w:p w14:paraId="5FC8578B" w14:textId="75444A46" w:rsidR="000E18AA" w:rsidRPr="001821F6" w:rsidRDefault="000E18AA" w:rsidP="004A48D0">
      <w:pPr>
        <w:rPr>
          <w:rFonts w:ascii="Times New Roman" w:hAnsi="Times New Roman"/>
          <w:sz w:val="22"/>
          <w:lang w:val="en-GB"/>
        </w:rPr>
      </w:pPr>
      <w:r w:rsidRPr="001821F6">
        <w:rPr>
          <w:rFonts w:ascii="Times New Roman" w:hAnsi="Times New Roman"/>
          <w:sz w:val="22"/>
          <w:lang w:val="en-GB"/>
        </w:rPr>
        <w:t>And we propose:</w:t>
      </w:r>
    </w:p>
    <w:p w14:paraId="04D7602C" w14:textId="2A1BDB31" w:rsidR="001821F6" w:rsidRPr="001821F6" w:rsidRDefault="001821F6" w:rsidP="001821F6">
      <w:pPr>
        <w:rPr>
          <w:rFonts w:ascii="Times New Roman" w:hAnsi="Times New Roman"/>
          <w:b/>
          <w:bCs/>
          <w:sz w:val="22"/>
          <w:lang w:val="en-GB"/>
        </w:rPr>
      </w:pPr>
      <w:r w:rsidRPr="001821F6">
        <w:rPr>
          <w:rFonts w:ascii="Times New Roman" w:hAnsi="Times New Roman"/>
          <w:b/>
          <w:bCs/>
          <w:sz w:val="22"/>
          <w:lang w:val="en-GB"/>
        </w:rPr>
        <w:t>Proposal 1: To reduce measurements on TN frequencies in NTN-TN mobility, RAN2 to consider the above options to indicate the area where TN is available.</w:t>
      </w:r>
    </w:p>
    <w:p w14:paraId="74034FB2" w14:textId="63AFA733" w:rsidR="001821F6" w:rsidRPr="001821F6" w:rsidRDefault="001821F6" w:rsidP="001821F6">
      <w:pPr>
        <w:pStyle w:val="a6"/>
        <w:numPr>
          <w:ilvl w:val="0"/>
          <w:numId w:val="17"/>
        </w:numPr>
        <w:spacing w:after="0"/>
        <w:ind w:firstLineChars="0"/>
        <w:rPr>
          <w:sz w:val="22"/>
          <w:szCs w:val="22"/>
        </w:rPr>
      </w:pPr>
      <w:r w:rsidRPr="001821F6">
        <w:rPr>
          <w:sz w:val="22"/>
          <w:szCs w:val="22"/>
        </w:rPr>
        <w:t xml:space="preserve">Option </w:t>
      </w:r>
      <w:r>
        <w:rPr>
          <w:sz w:val="22"/>
          <w:szCs w:val="22"/>
        </w:rPr>
        <w:t>1</w:t>
      </w:r>
      <w:r w:rsidRPr="001821F6">
        <w:rPr>
          <w:sz w:val="22"/>
          <w:szCs w:val="22"/>
        </w:rPr>
        <w:t xml:space="preserve">: Represented by relative location from TN cell(s) to the NTN cell. </w:t>
      </w:r>
    </w:p>
    <w:p w14:paraId="09B4B152" w14:textId="09C33DD2" w:rsidR="001821F6" w:rsidRPr="001821F6" w:rsidRDefault="001821F6" w:rsidP="001821F6">
      <w:pPr>
        <w:pStyle w:val="a6"/>
        <w:numPr>
          <w:ilvl w:val="0"/>
          <w:numId w:val="17"/>
        </w:numPr>
        <w:spacing w:after="0"/>
        <w:ind w:firstLineChars="0"/>
        <w:rPr>
          <w:sz w:val="22"/>
          <w:szCs w:val="22"/>
        </w:rPr>
      </w:pPr>
      <w:r w:rsidRPr="001821F6">
        <w:rPr>
          <w:sz w:val="22"/>
          <w:szCs w:val="22"/>
        </w:rPr>
        <w:t xml:space="preserve">Option </w:t>
      </w:r>
      <w:r>
        <w:rPr>
          <w:sz w:val="22"/>
          <w:szCs w:val="22"/>
        </w:rPr>
        <w:t>2</w:t>
      </w:r>
      <w:r w:rsidRPr="001821F6">
        <w:rPr>
          <w:sz w:val="22"/>
          <w:szCs w:val="22"/>
        </w:rPr>
        <w:t>: Represented by absolute location of TN cell(s).</w:t>
      </w:r>
    </w:p>
    <w:sectPr w:rsidR="001821F6" w:rsidRPr="001821F6"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CB622" w14:textId="77777777" w:rsidR="00C77509" w:rsidRDefault="00C77509">
      <w:r>
        <w:separator/>
      </w:r>
    </w:p>
  </w:endnote>
  <w:endnote w:type="continuationSeparator" w:id="0">
    <w:p w14:paraId="03AECF13" w14:textId="77777777" w:rsidR="00C77509" w:rsidRDefault="00C7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7B55" w14:textId="77777777" w:rsidR="00C77509" w:rsidRDefault="00C77509">
      <w:r>
        <w:separator/>
      </w:r>
    </w:p>
  </w:footnote>
  <w:footnote w:type="continuationSeparator" w:id="0">
    <w:p w14:paraId="65978B3E" w14:textId="77777777" w:rsidR="00C77509" w:rsidRDefault="00C77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8A5AFB"/>
    <w:multiLevelType w:val="hybridMultilevel"/>
    <w:tmpl w:val="26DC0E0A"/>
    <w:lvl w:ilvl="0" w:tplc="44B426A6">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0657410">
    <w:abstractNumId w:val="11"/>
  </w:num>
  <w:num w:numId="2" w16cid:durableId="1612277071">
    <w:abstractNumId w:val="0"/>
  </w:num>
  <w:num w:numId="3" w16cid:durableId="561672841">
    <w:abstractNumId w:val="16"/>
  </w:num>
  <w:num w:numId="4" w16cid:durableId="1866287463">
    <w:abstractNumId w:val="15"/>
  </w:num>
  <w:num w:numId="5" w16cid:durableId="1260945135">
    <w:abstractNumId w:val="4"/>
  </w:num>
  <w:num w:numId="6" w16cid:durableId="1888644407">
    <w:abstractNumId w:val="10"/>
  </w:num>
  <w:num w:numId="7" w16cid:durableId="1260606349">
    <w:abstractNumId w:val="7"/>
  </w:num>
  <w:num w:numId="8" w16cid:durableId="1821338711">
    <w:abstractNumId w:val="5"/>
  </w:num>
  <w:num w:numId="9" w16cid:durableId="623661057">
    <w:abstractNumId w:val="1"/>
  </w:num>
  <w:num w:numId="10" w16cid:durableId="1106923068">
    <w:abstractNumId w:val="2"/>
  </w:num>
  <w:num w:numId="11" w16cid:durableId="1096947345">
    <w:abstractNumId w:val="6"/>
  </w:num>
  <w:num w:numId="12" w16cid:durableId="1819030130">
    <w:abstractNumId w:val="8"/>
  </w:num>
  <w:num w:numId="13" w16cid:durableId="1950625549">
    <w:abstractNumId w:val="13"/>
  </w:num>
  <w:num w:numId="14" w16cid:durableId="1348672438">
    <w:abstractNumId w:val="9"/>
  </w:num>
  <w:num w:numId="15" w16cid:durableId="672343675">
    <w:abstractNumId w:val="14"/>
  </w:num>
  <w:num w:numId="16" w16cid:durableId="996113403">
    <w:abstractNumId w:val="18"/>
  </w:num>
  <w:num w:numId="17" w16cid:durableId="1216888863">
    <w:abstractNumId w:val="17"/>
  </w:num>
  <w:num w:numId="18" w16cid:durableId="1123378701">
    <w:abstractNumId w:val="12"/>
  </w:num>
  <w:num w:numId="19" w16cid:durableId="25213350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B79D8"/>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156"/>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1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67096"/>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3EC1"/>
    <w:rsid w:val="00474228"/>
    <w:rsid w:val="0047431E"/>
    <w:rsid w:val="004743C7"/>
    <w:rsid w:val="004744CB"/>
    <w:rsid w:val="004745B2"/>
    <w:rsid w:val="00474CEC"/>
    <w:rsid w:val="00475858"/>
    <w:rsid w:val="00475BB9"/>
    <w:rsid w:val="004762F3"/>
    <w:rsid w:val="00477E55"/>
    <w:rsid w:val="00477ED8"/>
    <w:rsid w:val="00477FD8"/>
    <w:rsid w:val="00480691"/>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3324"/>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9D8"/>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CED"/>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902"/>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979"/>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31"/>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34"/>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34E"/>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B3D"/>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1BB"/>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4B7B"/>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2FB8"/>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633B"/>
    <w:rsid w:val="00C770AD"/>
    <w:rsid w:val="00C77404"/>
    <w:rsid w:val="00C77509"/>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6F13"/>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45F4"/>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1C60"/>
    <w:rsid w:val="00EF214E"/>
    <w:rsid w:val="00EF396C"/>
    <w:rsid w:val="00EF39D2"/>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5B"/>
    <w:rsid w:val="00F54611"/>
    <w:rsid w:val="00F54C61"/>
    <w:rsid w:val="00F54D6F"/>
    <w:rsid w:val="00F5565A"/>
    <w:rsid w:val="00F561CF"/>
    <w:rsid w:val="00F5667B"/>
    <w:rsid w:val="00F56A63"/>
    <w:rsid w:val="00F56D74"/>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47B"/>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TotalTime>
  <Pages>3</Pages>
  <Words>869</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120</cp:revision>
  <cp:lastPrinted>2012-10-30T00:20:00Z</cp:lastPrinted>
  <dcterms:created xsi:type="dcterms:W3CDTF">2020-08-03T07:44:00Z</dcterms:created>
  <dcterms:modified xsi:type="dcterms:W3CDTF">2023-02-17T01:38:00Z</dcterms:modified>
</cp:coreProperties>
</file>